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附件4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中国新闻奖参评作品推荐表</w:t>
      </w:r>
    </w:p>
    <w:tbl>
      <w:tblPr>
        <w:tblStyle w:val="3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476"/>
        <w:gridCol w:w="1015"/>
        <w:gridCol w:w="855"/>
        <w:gridCol w:w="823"/>
        <w:gridCol w:w="533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63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346" w:type="dxa"/>
            <w:gridSpan w:val="3"/>
            <w:vAlign w:val="center"/>
          </w:tcPr>
          <w:p>
            <w:pPr>
              <w:spacing w:line="380" w:lineRule="exact"/>
              <w:jc w:val="both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没有一个国家能置身事外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评论（新媒体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163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字数/时长</w:t>
            </w:r>
          </w:p>
        </w:tc>
        <w:tc>
          <w:tcPr>
            <w:tcW w:w="3346" w:type="dxa"/>
            <w:gridSpan w:val="3"/>
            <w:vMerge w:val="restart"/>
            <w:vAlign w:val="center"/>
          </w:tcPr>
          <w:p>
            <w:pPr>
              <w:spacing w:line="240" w:lineRule="exac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774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仿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3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346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 xml:space="preserve"> 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3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2"/>
              </w:rPr>
              <w:t>（主创人员）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华文中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张梦然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仿宋" w:hAnsi="仿宋" w:eastAsia="仿宋"/>
                <w:color w:val="000000"/>
                <w:w w:val="95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何屹、冯卫东、常丽君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3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260" w:lineRule="exact"/>
              <w:ind w:firstLine="420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科技日报社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pacing w:line="260" w:lineRule="exact"/>
              <w:rPr>
                <w:rFonts w:ascii="华文中宋" w:hAnsi="华文中宋" w:eastAsia="华文中宋"/>
                <w:color w:val="000000"/>
                <w:sz w:val="18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发布端/账号/</w:t>
            </w:r>
          </w:p>
          <w:p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Fonts w:hint="eastAsia" w:ascii="华文中宋" w:hAnsi="华文中宋" w:eastAsia="华文中宋"/>
                <w:color w:val="000000"/>
                <w:sz w:val="18"/>
              </w:rPr>
              <w:t>媒体名称</w:t>
            </w:r>
          </w:p>
        </w:tc>
        <w:tc>
          <w:tcPr>
            <w:tcW w:w="3817" w:type="dxa"/>
            <w:gridSpan w:val="2"/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color w:val="000000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中国科技网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63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491" w:type="dxa"/>
            <w:gridSpan w:val="2"/>
            <w:vAlign w:val="center"/>
          </w:tcPr>
          <w:p>
            <w:pPr>
              <w:spacing w:line="260" w:lineRule="exact"/>
              <w:ind w:firstLine="320" w:firstLineChars="100"/>
              <w:rPr>
                <w:rFonts w:hint="eastAsia" w:ascii="仿宋_GB2312" w:hAnsi="仿宋" w:eastAsia="仿宋_GB2312"/>
                <w:color w:val="000000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ind w:firstLine="240" w:firstLineChars="100"/>
              <w:rPr>
                <w:rFonts w:hint="default" w:ascii="华文中宋" w:hAnsi="华文中宋" w:eastAsia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lang w:val="en-US" w:eastAsia="zh-CN"/>
              </w:rPr>
              <w:t>2023年8月24日 01:08:00</w:t>
            </w:r>
            <w:r>
              <w:rPr>
                <w:rFonts w:hint="default" w:ascii="华文中宋" w:hAnsi="华文中宋" w:eastAsia="华文中宋"/>
                <w:color w:val="00000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3114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instrText xml:space="preserve"> HYPERLINK "http://www.stdaily.com/index/kejixinwen/202308/51ceebca99af481aa8961c5e7ce7929b.shtml" </w:instrTex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000000"/>
                <w:sz w:val="24"/>
                <w:szCs w:val="18"/>
              </w:rPr>
              <w:t>http://www.stdaily.com/index/kejixinwen/202308/51ceebca99af481aa8961c5e7ce7929b.shtml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fldChar w:fldCharType="end"/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华文仿宋" w:hAnsi="华文仿宋" w:eastAsia="华文仿宋"/>
                <w:color w:val="000000"/>
                <w:szCs w:val="32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65405</wp:posOffset>
                  </wp:positionV>
                  <wp:extent cx="676910" cy="676910"/>
                  <wp:effectExtent l="0" t="0" r="8890" b="8890"/>
                  <wp:wrapSquare wrapText="bothSides"/>
                  <wp:docPr id="4" name="图片 4" descr="b5354d35d293885d7a8437cf1424d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b5354d35d293885d7a8437cf1424d4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0" w:hRule="atLeast"/>
        </w:trPr>
        <w:tc>
          <w:tcPr>
            <w:tcW w:w="163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0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月，日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开始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向海洋排放核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污染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水一事引发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国际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舆情。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国际部主动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策划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追踪这一全球瞩目事件。8月24日，日本正式启动核污染水排海，当天科技日报刊登重磅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评论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没有一个国家能置身事外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》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形成强势舆论场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Hans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评论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揭示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了日本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排放福岛核废水入海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是极端的利己主义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行为，只为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自己减少人力、物力、财力支出，公然向全世界转嫁核污染风险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。但世界上没有一个国家与世隔绝，全球海洋彼此连通，随着时间的推移，想要置身事外的国家也将受到核污染水的伤害。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作品延续了记者深耕国际新闻评论笔触犀利、不失幽默的独特风格，亦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为本报主持的官方微博话题提供了独家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观点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exact"/>
        </w:trPr>
        <w:tc>
          <w:tcPr>
            <w:tcW w:w="163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该评论文章在中国科技网发布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后，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即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被人民网、光明网、中国经济网、腾讯新闻、新浪新闻、澎湃新闻等数十家主流媒体和商业网站转载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；该评论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文章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也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为本报主持的官方微博话题提供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了强大立论和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独家素材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，该话题还登上微博热搜，引发网友热议，助力形成舆论声浪。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4" w:hRule="exact"/>
        </w:trPr>
        <w:tc>
          <w:tcPr>
            <w:tcW w:w="163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9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中国是国际合作的倡导者和现行国际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秩序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的参与者、建设者，积极参与国际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事务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治理义不容辞。中国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主流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媒体如何及时为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全球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民生福祉主动发声、营造国际舆论？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本篇作品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给出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——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一是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当国际事务涉及本国利益，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评论要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尽可能走进事件中心“借嘴发声”。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文章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借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印度网友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诙谐的指责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点出排海行为其实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对日本国内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对亚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洲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地区的民生福祉都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产生严重影响，借嘴发声表达观点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在效果上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Hans"/>
              </w:rPr>
              <w:t>更胜一筹。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/>
              <w:textAlignment w:val="auto"/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二是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当热点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事件出现时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，评论文章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更能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将国际观察的视野推向纵深。参与国际治理往往伴随着复杂的国际关系角力，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评论给出“没有一个国家能置身事外”的观点，正是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立足于习近平总书记提出的“人类命运共同体”理念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。科技日报在这一国际事务上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输出核心价值观的重要着眼点，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让本篇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评论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立意更高、格局更大</w:t>
            </w: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Hans"/>
              </w:rPr>
              <w:t>。</w:t>
            </w:r>
          </w:p>
          <w:p>
            <w:pPr>
              <w:widowControl w:val="0"/>
              <w:spacing w:line="240" w:lineRule="auto"/>
              <w:ind w:firstLine="420"/>
              <w:rPr>
                <w:rFonts w:hint="default" w:ascii="仿宋" w:hAnsi="仿宋" w:eastAsia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rPr>
                <w:rFonts w:ascii="仿宋_GB2312" w:hAnsi="仿宋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"/>
                <w:color w:val="000000"/>
                <w:sz w:val="24"/>
                <w:szCs w:val="18"/>
              </w:rPr>
              <w:t xml:space="preserve">    </w:t>
            </w:r>
          </w:p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签名：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lang w:val="en-US" w:eastAsia="zh-CN"/>
              </w:rPr>
              <w:t xml:space="preserve">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8"/>
              </w:rPr>
              <w:t xml:space="preserve">                                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4年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</w:tbl>
    <w:p>
      <w:pPr>
        <w:rPr>
          <w:rFonts w:ascii="华文仿宋" w:hAnsi="华文仿宋" w:eastAsia="华文仿宋"/>
          <w:color w:val="000000"/>
          <w:szCs w:val="32"/>
        </w:rPr>
      </w:pPr>
    </w:p>
    <w:p>
      <w:pPr>
        <w:rPr>
          <w:rFonts w:ascii="华文仿宋" w:hAnsi="华文仿宋" w:eastAsia="华文仿宋"/>
          <w:color w:val="000000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zUxZjI0MjUzNTBjMmQ0MzZlMTQ3MzA1MzJmMGYifQ=="/>
  </w:docVars>
  <w:rsids>
    <w:rsidRoot w:val="00000000"/>
    <w:rsid w:val="07736F12"/>
    <w:rsid w:val="0A4C1B0D"/>
    <w:rsid w:val="0F141EA4"/>
    <w:rsid w:val="10C83924"/>
    <w:rsid w:val="1BEF0883"/>
    <w:rsid w:val="23A8291E"/>
    <w:rsid w:val="27A05701"/>
    <w:rsid w:val="2D44060B"/>
    <w:rsid w:val="2F592B4B"/>
    <w:rsid w:val="314E7D32"/>
    <w:rsid w:val="32161DC0"/>
    <w:rsid w:val="366A7AD2"/>
    <w:rsid w:val="37A111C5"/>
    <w:rsid w:val="42D1738C"/>
    <w:rsid w:val="47FC68AE"/>
    <w:rsid w:val="48623E18"/>
    <w:rsid w:val="486473DB"/>
    <w:rsid w:val="4C625854"/>
    <w:rsid w:val="556E41E2"/>
    <w:rsid w:val="59CB5623"/>
    <w:rsid w:val="605C6596"/>
    <w:rsid w:val="62153E28"/>
    <w:rsid w:val="6AA4661A"/>
    <w:rsid w:val="7293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autoRedefine/>
    <w:unhideWhenUsed/>
    <w:qFormat/>
    <w:uiPriority w:val="99"/>
    <w:pPr>
      <w:spacing w:after="120"/>
    </w:pPr>
    <w:rPr>
      <w:sz w:val="16"/>
      <w:szCs w:val="16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2024-04-15T07:44:00Z</dcterms:created>
  <dc:creator>DELL</dc:creator>
  <cp:lastModifiedBy>Administrator</cp:lastModifiedBy>
  <cp:lastPrinted>2024-04-22T03:46:00Z</cp:lastPrinted>
  <dcterms:modified xsi:type="dcterms:W3CDTF">2024-04-23T05:55:01Z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A8A75915AE614B68B9241E1EA38A1DEC</vt:lpwstr>
  </property>
</Properties>
</file>